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0F624D" w:rsidRPr="00E759A2" w:rsidRDefault="000F624D" w:rsidP="000F624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0F624D" w:rsidRPr="00E759A2" w:rsidRDefault="000F624D" w:rsidP="000F624D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0F624D" w:rsidRPr="00E759A2" w:rsidRDefault="000F624D" w:rsidP="000F624D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 февраля </w:t>
      </w:r>
      <w:r w:rsidRPr="00E759A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                       № </w:t>
      </w:r>
      <w:r w:rsidR="00B256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F624D" w:rsidRPr="00E759A2" w:rsidRDefault="000F624D" w:rsidP="000F624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256BE" w:rsidRPr="00B256BE" w:rsidRDefault="000F624D" w:rsidP="000F6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56BE">
        <w:rPr>
          <w:rFonts w:ascii="Times New Roman" w:hAnsi="Times New Roman" w:cs="Times New Roman"/>
          <w:sz w:val="24"/>
          <w:szCs w:val="24"/>
        </w:rPr>
        <w:t xml:space="preserve">О </w:t>
      </w:r>
      <w:r w:rsidR="00B256BE" w:rsidRPr="00B256BE">
        <w:rPr>
          <w:rFonts w:ascii="Times New Roman" w:hAnsi="Times New Roman" w:cs="Times New Roman"/>
          <w:sz w:val="24"/>
          <w:szCs w:val="24"/>
        </w:rPr>
        <w:t>ходе подготовки к избирательной кампании</w:t>
      </w:r>
    </w:p>
    <w:p w:rsidR="000F624D" w:rsidRPr="00B256BE" w:rsidRDefault="00B256BE" w:rsidP="000F6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256BE">
        <w:rPr>
          <w:rFonts w:ascii="Times New Roman" w:hAnsi="Times New Roman" w:cs="Times New Roman"/>
          <w:sz w:val="24"/>
          <w:szCs w:val="24"/>
        </w:rPr>
        <w:t xml:space="preserve">по </w:t>
      </w:r>
      <w:r w:rsidR="000F624D" w:rsidRPr="00B256BE">
        <w:rPr>
          <w:rFonts w:ascii="Times New Roman" w:hAnsi="Times New Roman" w:cs="Times New Roman"/>
          <w:sz w:val="24"/>
          <w:szCs w:val="24"/>
        </w:rPr>
        <w:t>выбора</w:t>
      </w:r>
      <w:r w:rsidRPr="00B256BE">
        <w:rPr>
          <w:rFonts w:ascii="Times New Roman" w:hAnsi="Times New Roman" w:cs="Times New Roman"/>
          <w:sz w:val="24"/>
          <w:szCs w:val="24"/>
        </w:rPr>
        <w:t>м</w:t>
      </w:r>
      <w:r w:rsidR="000F624D" w:rsidRPr="00B256BE">
        <w:rPr>
          <w:rFonts w:ascii="Times New Roman" w:hAnsi="Times New Roman" w:cs="Times New Roman"/>
          <w:sz w:val="24"/>
          <w:szCs w:val="24"/>
        </w:rPr>
        <w:t xml:space="preserve"> Президента</w:t>
      </w:r>
      <w:r w:rsidRPr="00B256BE">
        <w:rPr>
          <w:rFonts w:ascii="Times New Roman" w:hAnsi="Times New Roman" w:cs="Times New Roman"/>
          <w:sz w:val="24"/>
          <w:szCs w:val="24"/>
        </w:rPr>
        <w:t xml:space="preserve"> </w:t>
      </w:r>
      <w:r w:rsidR="000F624D" w:rsidRPr="00B256B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F624D" w:rsidRPr="00B256BE" w:rsidRDefault="00B256BE" w:rsidP="000F624D">
      <w:pPr>
        <w:rPr>
          <w:rFonts w:ascii="Times New Roman" w:hAnsi="Times New Roman" w:cs="Times New Roman"/>
          <w:sz w:val="24"/>
          <w:szCs w:val="24"/>
        </w:rPr>
      </w:pPr>
      <w:r w:rsidRPr="00B256BE">
        <w:rPr>
          <w:rFonts w:ascii="Times New Roman" w:hAnsi="Times New Roman" w:cs="Times New Roman"/>
          <w:sz w:val="24"/>
          <w:szCs w:val="24"/>
        </w:rPr>
        <w:t>18 марта 2018 года</w:t>
      </w:r>
    </w:p>
    <w:p w:rsidR="000F624D" w:rsidRDefault="000F624D" w:rsidP="000F62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503BF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Нукутской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B256BE" w:rsidRPr="00B256BE">
        <w:rPr>
          <w:rFonts w:ascii="Times New Roman" w:hAnsi="Times New Roman" w:cs="Times New Roman"/>
          <w:sz w:val="24"/>
          <w:szCs w:val="24"/>
        </w:rPr>
        <w:t xml:space="preserve"> ходе подготовки к избирательной кампании</w:t>
      </w:r>
      <w:r w:rsidR="00B256BE">
        <w:rPr>
          <w:rFonts w:ascii="Times New Roman" w:hAnsi="Times New Roman" w:cs="Times New Roman"/>
          <w:sz w:val="24"/>
          <w:szCs w:val="24"/>
        </w:rPr>
        <w:t xml:space="preserve"> </w:t>
      </w:r>
      <w:r w:rsidR="00B256BE" w:rsidRPr="00B256BE">
        <w:rPr>
          <w:rFonts w:ascii="Times New Roman" w:hAnsi="Times New Roman" w:cs="Times New Roman"/>
          <w:sz w:val="24"/>
          <w:szCs w:val="24"/>
        </w:rPr>
        <w:t>по выборам Президента Российской Федерации</w:t>
      </w:r>
      <w:r w:rsidR="00B256BE">
        <w:rPr>
          <w:rFonts w:ascii="Times New Roman" w:hAnsi="Times New Roman" w:cs="Times New Roman"/>
          <w:sz w:val="24"/>
          <w:szCs w:val="24"/>
        </w:rPr>
        <w:t xml:space="preserve"> </w:t>
      </w:r>
      <w:r w:rsidR="00B256BE" w:rsidRPr="00B256BE">
        <w:rPr>
          <w:rFonts w:ascii="Times New Roman" w:hAnsi="Times New Roman" w:cs="Times New Roman"/>
          <w:sz w:val="24"/>
          <w:szCs w:val="24"/>
        </w:rPr>
        <w:t>18 марта 2018 года</w:t>
      </w:r>
      <w:r>
        <w:rPr>
          <w:rFonts w:ascii="Times New Roman" w:hAnsi="Times New Roman" w:cs="Times New Roman"/>
          <w:sz w:val="24"/>
          <w:szCs w:val="24"/>
        </w:rPr>
        <w:t>», Дума</w:t>
      </w:r>
    </w:p>
    <w:p w:rsidR="000F624D" w:rsidRDefault="000F624D" w:rsidP="000F624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Pr="00712189" w:rsidRDefault="000F624D" w:rsidP="000F624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89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F624D" w:rsidRDefault="000F624D" w:rsidP="000F624D">
      <w:pPr>
        <w:pStyle w:val="a6"/>
        <w:spacing w:after="0" w:line="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Информацию</w:t>
      </w:r>
      <w:r w:rsidRPr="000F624D">
        <w:rPr>
          <w:rFonts w:ascii="Times New Roman" w:hAnsi="Times New Roman" w:cs="Times New Roman"/>
          <w:sz w:val="24"/>
          <w:szCs w:val="24"/>
        </w:rPr>
        <w:t xml:space="preserve"> </w:t>
      </w:r>
      <w:r w:rsidRPr="00A503B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Нукутской территориальной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А.С.Ланцовой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B256BE">
        <w:rPr>
          <w:rFonts w:ascii="Times New Roman" w:hAnsi="Times New Roman" w:cs="Times New Roman"/>
          <w:sz w:val="24"/>
          <w:szCs w:val="24"/>
        </w:rPr>
        <w:t xml:space="preserve"> </w:t>
      </w:r>
      <w:r w:rsidR="00B256BE" w:rsidRPr="00B256BE">
        <w:rPr>
          <w:rFonts w:ascii="Times New Roman" w:hAnsi="Times New Roman" w:cs="Times New Roman"/>
          <w:sz w:val="24"/>
          <w:szCs w:val="24"/>
        </w:rPr>
        <w:t>ходе подготовки к избирательной кампании</w:t>
      </w:r>
      <w:r w:rsidR="00B256BE">
        <w:rPr>
          <w:rFonts w:ascii="Times New Roman" w:hAnsi="Times New Roman" w:cs="Times New Roman"/>
          <w:sz w:val="24"/>
          <w:szCs w:val="24"/>
        </w:rPr>
        <w:t xml:space="preserve"> </w:t>
      </w:r>
      <w:r w:rsidR="00B256BE" w:rsidRPr="00B256BE">
        <w:rPr>
          <w:rFonts w:ascii="Times New Roman" w:hAnsi="Times New Roman" w:cs="Times New Roman"/>
          <w:sz w:val="24"/>
          <w:szCs w:val="24"/>
        </w:rPr>
        <w:t>по выборам Президента Российской Федерации</w:t>
      </w:r>
      <w:r w:rsidR="00B256BE">
        <w:rPr>
          <w:rFonts w:ascii="Times New Roman" w:hAnsi="Times New Roman" w:cs="Times New Roman"/>
          <w:sz w:val="24"/>
          <w:szCs w:val="24"/>
        </w:rPr>
        <w:t xml:space="preserve"> </w:t>
      </w:r>
      <w:r w:rsidR="00B256BE" w:rsidRPr="00B256BE">
        <w:rPr>
          <w:rFonts w:ascii="Times New Roman" w:hAnsi="Times New Roman" w:cs="Times New Roman"/>
          <w:sz w:val="24"/>
          <w:szCs w:val="24"/>
        </w:rPr>
        <w:t>18 марта 2018 года</w:t>
      </w:r>
      <w:r>
        <w:rPr>
          <w:rFonts w:ascii="Times New Roman" w:hAnsi="Times New Roman" w:cs="Times New Roman"/>
          <w:sz w:val="24"/>
          <w:szCs w:val="24"/>
        </w:rPr>
        <w:t>» принять к сведению (прилагается).</w:t>
      </w: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24D" w:rsidRPr="000F624D" w:rsidRDefault="000F624D" w:rsidP="000F624D">
      <w:pPr>
        <w:pStyle w:val="a6"/>
        <w:spacing w:after="0" w:line="0" w:lineRule="atLeast"/>
        <w:ind w:left="0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lastRenderedPageBreak/>
        <w:t>Приложение</w:t>
      </w: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к решению Думы</w:t>
      </w: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МО «Нукутский район»</w:t>
      </w:r>
    </w:p>
    <w:p w:rsidR="00747B40" w:rsidRPr="00747B40" w:rsidRDefault="00747B40" w:rsidP="00747B4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bCs/>
          <w:spacing w:val="2"/>
          <w:lang w:eastAsia="en-US"/>
        </w:rPr>
      </w:pPr>
      <w:r w:rsidRPr="00747B40">
        <w:rPr>
          <w:rFonts w:ascii="Times New Roman" w:eastAsia="Calibri" w:hAnsi="Times New Roman" w:cs="Times New Roman"/>
          <w:bCs/>
          <w:spacing w:val="2"/>
          <w:lang w:eastAsia="en-US"/>
        </w:rPr>
        <w:t>от 22.02.2018 г. №</w:t>
      </w:r>
      <w:r w:rsidR="00B256BE">
        <w:rPr>
          <w:rFonts w:ascii="Times New Roman" w:eastAsia="Calibri" w:hAnsi="Times New Roman" w:cs="Times New Roman"/>
          <w:bCs/>
          <w:spacing w:val="2"/>
          <w:lang w:eastAsia="en-US"/>
        </w:rPr>
        <w:t xml:space="preserve"> 9</w:t>
      </w: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747B40" w:rsidRDefault="00747B40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086152" w:rsidRPr="000F624D" w:rsidRDefault="00086152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>О выборах Президента Российской Федерации</w:t>
      </w:r>
    </w:p>
    <w:p w:rsidR="00086152" w:rsidRPr="000F624D" w:rsidRDefault="00086152" w:rsidP="000F624D">
      <w:pPr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</w:p>
    <w:p w:rsidR="003B2E2A" w:rsidRPr="000F624D" w:rsidRDefault="00086152" w:rsidP="000F624D">
      <w:pPr>
        <w:spacing w:after="0" w:line="0" w:lineRule="atLeast"/>
        <w:ind w:firstLine="709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После </w:t>
      </w:r>
      <w:r w:rsidR="003B2E2A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официальной публикации в Российской газете постановления Совета Федерации о назначении выборов Президента Российской Федерации 18 марта 2018 года начался отсчет всех электоральных действий и процедур. Данное постановление было опубликовано 18</w:t>
      </w:r>
      <w:r w:rsidR="00455BAA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декабря 2017 года.</w:t>
      </w:r>
    </w:p>
    <w:p w:rsidR="00086152" w:rsidRPr="000F624D" w:rsidRDefault="00455BAA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Кандидат в президенты мог быть выдвинут политической партией или участвовать в выборах в порядке самовыдвижения. Партии выдвигали  своих кандидатов на своих съездах, а самовыдвиженцам необходимо было  собрать инициативную группу из 500 человек и зарегистрировать ее в ЦИК России. Для включения в состав такой инициативной группы не было никаких ограничений, касающихся занимаемой должности. Это должны быть избиратели, т.е. лица, обладающие активным избирательным правом. При выдвижении все кандидаты должны были соблюдать определенные требования: есть возрастной ценз и ценз оседлости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-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кандидатом может стать гражданин России, достигший возраста 35 лет и не менее 10 </w:t>
      </w:r>
      <w:proofErr w:type="gramStart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лет</w:t>
      </w:r>
      <w:proofErr w:type="gramEnd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проживающий в Российской Федерации. Кандидаты также должны </w:t>
      </w:r>
      <w:r w:rsidR="0087063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были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открыть специальный счет для формирования избирательного фонда. </w:t>
      </w:r>
      <w:proofErr w:type="gramStart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Предельная сумма всех расходов кандидата из средств его избирательного фонда не может превышать 400 млн. рублей, а при проведении повторного голосования предельная сумма всех расходов кандидата, по которой назначено повторное голосование, не может превышать 500 млн. рублей.</w:t>
      </w:r>
      <w:proofErr w:type="gramEnd"/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Кандидат, выдвинутый в порядке самовыдвижения, обязан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был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собрать не менее 300 тысяч подписей, при этом на один субъект должно приходиться не более 7,5 тысяч подписей. Политическая партия, кроме партий парламентских, должна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была </w:t>
      </w:r>
      <w:r w:rsidR="00086152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собрать в поддержку выдвижения кандидата 100 тысяч подписей, при этом на один субъект должно приходиться не более 2,5 тысяч подписей.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Кроме того, обязательным требованием для кандидатов на любом уровне является отсутствие иностранного гражданства или вида на жительство в другом государстве, а также отсутствие судимости за тяжкие и особо тяжкие преступления, если судимость не погашена и если с этого момента не прошло 10 лет или 15 лет.</w:t>
      </w:r>
    </w:p>
    <w:p w:rsidR="00455BAA" w:rsidRPr="000F624D" w:rsidRDefault="00455BAA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Представление в ЦИК России документов для регистрации кандидатов закончилось в 18.00 часов 31 января 2018 года по московскому времени.</w:t>
      </w:r>
    </w:p>
    <w:p w:rsidR="00870632" w:rsidRPr="000F624D" w:rsidRDefault="00870632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С начала избирательной кампании всего в ЦИК России было заявлено 38 кандидатов. В результате, на 31 января 2018 года в ЦИК для регистрации в полном объеме были приняты документы от 8 кандидатов, которые и были зарегистрированы </w:t>
      </w:r>
      <w:r w:rsidRPr="000F624D">
        <w:rPr>
          <w:rFonts w:ascii="Times New Roman" w:eastAsia="Calibri" w:hAnsi="Times New Roman" w:cs="Times New Roman"/>
          <w:bCs/>
          <w:i/>
          <w:spacing w:val="2"/>
          <w:sz w:val="24"/>
          <w:szCs w:val="24"/>
          <w:lang w:eastAsia="en-US"/>
        </w:rPr>
        <w:t>(Список прилагается).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</w:t>
      </w:r>
    </w:p>
    <w:p w:rsidR="00870632" w:rsidRPr="000F624D" w:rsidRDefault="00870632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В </w:t>
      </w:r>
      <w:proofErr w:type="gramStart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связи</w:t>
      </w:r>
      <w:proofErr w:type="gramEnd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 чем произошел отсев? Утрата статуса выдвинутого кандидата произошла по причине наличия непогашенной судимости, невозможности зарегистрировать инициативную группу, отсутстви</w:t>
      </w:r>
      <w:r w:rsidR="00157DF0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я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необходимого количества подписей</w:t>
      </w:r>
      <w:r w:rsidR="00C91793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и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самоотвода.</w:t>
      </w:r>
    </w:p>
    <w:p w:rsidR="00F8399C" w:rsidRPr="000F624D" w:rsidRDefault="00C91793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Агитационный период начинается со дня представления кандидатом в ЦИК России заявления о согласии баллотироваться и продлится до ноля часов 17 марта 2018 года по местному времени. Предвыборная агитация на каналах телерадиовещания, в периодических печатных изданиях и в сетевых изданиях начался с 17 февраля 2018 года и продолжится до ноля часов 17 марта 2018 года по местному времени.</w:t>
      </w:r>
      <w:r w:rsidR="00F8399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</w:p>
    <w:p w:rsidR="00086152" w:rsidRPr="000F624D" w:rsidRDefault="00F8399C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Нукутской ТИК подготовлены и направлены в администрацию района  предложения по выделению и оборудованию на территории каждого избирательного участка специальных мест для размещения печатных агитационных материалов. Также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lastRenderedPageBreak/>
        <w:t>принято решение о предоставлении помещений для встреч с избирателями зарегистрированным кандидатам, политическим партиям, выдвинувшим зарегистрированных кандидатов.</w:t>
      </w:r>
    </w:p>
    <w:p w:rsidR="00157DF0" w:rsidRPr="000F624D" w:rsidRDefault="00157DF0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Для проведения голосования и подсчета голосов избирателей созданы избирательные участки. Всего на территории Нукутского района 33 </w:t>
      </w:r>
      <w:proofErr w:type="gramStart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избирательных</w:t>
      </w:r>
      <w:proofErr w:type="gramEnd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участка</w:t>
      </w:r>
      <w:r w:rsidR="00515F2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 № 1155 по № 1187</w:t>
      </w:r>
      <w:r w:rsidR="00A66F3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. В настоящее время введен мораторий на какие-либо изменения по избирательным  участкам. Участковые избирательные комиссии были сформированы в 2013 году на 5 лет. Всего в участковых избирательных комиссиях с правом решающего голоса работает 187 человек. </w:t>
      </w:r>
      <w:r w:rsidR="00515F2C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Также территориальная комиссия ведет работу по формированию списков избирателей по каждому избирательному участку. На 1 января 2018 года на территории Нукутского района зарегистрировано 12 198 избирателей.</w:t>
      </w:r>
    </w:p>
    <w:p w:rsidR="00124118" w:rsidRPr="000F624D" w:rsidRDefault="00157DF0" w:rsidP="000F624D">
      <w:pPr>
        <w:spacing w:after="0" w:line="0" w:lineRule="atLeast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</w:t>
      </w:r>
      <w:r w:rsidR="00C91793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А теперь о новеллах избирательного законодательства, которые уже будут действовать на предстоящих выборах.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З</w:t>
      </w:r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а последний год в законодательство внесен ряд важных поправок, облегчающи</w:t>
      </w:r>
      <w:r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х</w:t>
      </w:r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участие в выборах избирателям и наблюдателям. 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Самое заметное, пожалуй, новшество – отмена открепительного удостоверения и досрочного голосования, которые будут применяться на выборах федерального и </w:t>
      </w:r>
      <w:proofErr w:type="spellStart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субъектового</w:t>
      </w:r>
      <w:proofErr w:type="spellEnd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уровней.</w:t>
      </w:r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Теперь те избиратели, кто не имеет возможности проголосовать по месту постоянного проживания, смогут подать заявления о внесении их в списки избирателей по месту фактического нахождения. Речь идет </w:t>
      </w:r>
      <w:proofErr w:type="gramStart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о Порядке подачи заявления о включении избирателя в список избирателей по месту нахождения на выборах</w:t>
      </w:r>
      <w:proofErr w:type="gramEnd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Президента Российской Федерации. </w:t>
      </w:r>
      <w:proofErr w:type="gramStart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</w:t>
      </w:r>
      <w:proofErr w:type="gramEnd"/>
      <w:r w:rsidR="00124118"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данного Порядка </w:t>
      </w:r>
      <w:r w:rsidRPr="000F624D">
        <w:rPr>
          <w:rFonts w:ascii="Times New Roman" w:eastAsia="Times New Roman" w:hAnsi="Times New Roman" w:cs="Times New Roman"/>
          <w:color w:val="222222"/>
          <w:sz w:val="24"/>
          <w:szCs w:val="24"/>
        </w:rPr>
        <w:t>з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аявление может быть подано избирателями в пункты приема заявлений, а именно: в любую территориальную избирательную комиссию. В данном случае, если избиратель проживает на территории Нукутского района, а имеет регистрацию в другом месте, то он может прийти в </w:t>
      </w:r>
      <w:proofErr w:type="spellStart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Нукутскую</w:t>
      </w:r>
      <w:proofErr w:type="spellEnd"/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ТИК. Также можно подать заявление в участковую избирательную комиссию (их на территории Нукутского района 33), через многофункциональный центр предоставления государственных и муниципальных услуг (МФЦ), в электронном виде через федеральную государственную информационную систему  «Единый портал государственных и муниципальных услуг» (ЕПГУ). Обращаем ваше внимание на сроки и время подачи заявления. В территориальной комиссии, МФЦ и через ЕПГУ прием заявлений нач</w:t>
      </w:r>
      <w:r w:rsidR="0081357E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ался 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  <w:r w:rsidR="00124118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с 31 января 2018 года и продлится до 12 марта 2018 года. </w:t>
      </w:r>
      <w:r w:rsidR="0012411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В участковой комиссии прием заявлений начинается </w:t>
      </w:r>
      <w:r w:rsidR="00124118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с 25 февраля 2018 года и продлится также до 12 марта 2018 года. </w:t>
      </w:r>
      <w:r w:rsidR="0081357E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</w:t>
      </w:r>
    </w:p>
    <w:p w:rsidR="00124118" w:rsidRPr="000F624D" w:rsidRDefault="00124118" w:rsidP="000F624D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         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Далее, </w:t>
      </w:r>
      <w:proofErr w:type="gramStart"/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начиная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 с 13 марта </w:t>
      </w:r>
      <w:r w:rsidR="00157DF0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и 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до 17 марта 2018 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года в участковых комиссиях</w:t>
      </w:r>
      <w:r w:rsidRPr="000F6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>начнется</w:t>
      </w:r>
      <w:proofErr w:type="gramEnd"/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оформление специальных заявлений с маркой о включении избирателя в список избирателей по месту нахождения. Это касается тех избирателей, которые планируют выехать с места</w:t>
      </w:r>
      <w:r w:rsidR="0081357E"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регистрации за 4 и менее дней до дня голосования.</w:t>
      </w:r>
    </w:p>
    <w:p w:rsidR="0081357E" w:rsidRPr="000F624D" w:rsidRDefault="0081357E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Еще одно нововведение – использование участковыми  избирательными комиссиями протоколов об итогах голосования с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val="en-US" w:eastAsia="en-US"/>
        </w:rPr>
        <w:t>QR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-кодом (машиночитаемый штрих-код) </w:t>
      </w:r>
      <w:r w:rsidRPr="000F624D">
        <w:rPr>
          <w:rFonts w:ascii="Times New Roman" w:eastAsia="Calibri" w:hAnsi="Times New Roman" w:cs="Times New Roman"/>
          <w:bCs/>
          <w:i/>
          <w:spacing w:val="2"/>
          <w:sz w:val="24"/>
          <w:szCs w:val="24"/>
          <w:lang w:eastAsia="en-US"/>
        </w:rPr>
        <w:t>(показать протокол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). Озвученные нововведения предполагают оснащение всех участковых избирательных комиссий оргтехникой – компьютером либо ноутбуком и принтером</w:t>
      </w:r>
      <w:r w:rsidR="00F33C68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Эта система уже была использована в Иркутской области 10 сентября 2017 года, но в связи с тем, что на территории Нукутского района в 2017 году не было никаких выборов, то мы это будем использовать впервые.</w:t>
      </w:r>
    </w:p>
    <w:p w:rsidR="00080CC6" w:rsidRPr="000F624D" w:rsidRDefault="00080CC6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  Еще одно новшество – механизм общественного наблюдения: направлять своих представителей на избирательные участки смогут не только кандидаты и избирательные объединения, но и Общественная палата РФ и региональные общественные палаты. Также будут присутствовать и международные  наблюдатели от ОБСЕ. </w:t>
      </w:r>
    </w:p>
    <w:p w:rsidR="00080CC6" w:rsidRPr="000F624D" w:rsidRDefault="00080CC6" w:rsidP="000F624D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На предстоящих выборах видеонаблюдение будет применяться на избирательном участке № 1184 (Новонукутская средняя школа) и в месте, где территориальная комиссия будет вести прием протоколов от участковых комиссий (конференц-зал Администрации </w:t>
      </w: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района). Также постановлением </w:t>
      </w:r>
      <w:proofErr w:type="spellStart"/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>облизбиркома</w:t>
      </w:r>
      <w:proofErr w:type="spellEnd"/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определен избирательный участок, на котором могут проголосовать избиратели, не имеющие регистрации по месту жительства в пределах Российской Федерации. Это избирательный участок № 1183 (МБУК МДК Нукутского района, п. Новонукутский, ул. Ленина, 27). </w:t>
      </w:r>
    </w:p>
    <w:p w:rsidR="005D28A2" w:rsidRPr="000F624D" w:rsidRDefault="005D28A2" w:rsidP="000F624D">
      <w:pPr>
        <w:spacing w:after="0" w:line="0" w:lineRule="atLeast"/>
        <w:jc w:val="both"/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</w:pPr>
      <w:r w:rsidRPr="000F6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Учитывая, что выборы Президента – это федеральный уровень выборов, то п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>одготовку и проведение этих выборов полностью проводит ЦИК России,</w:t>
      </w:r>
      <w:r w:rsidR="005F20F0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соответственно, и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финансирование избирательной кампании осуществляется из федерального бюджета.</w:t>
      </w:r>
      <w:r w:rsidR="005F20F0"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Нукутской ТИК выделено 3 млн. 215 тыс. рублей, расчетный счет открыт в Черемховском отделении ПАО Сбербанк. </w:t>
      </w:r>
    </w:p>
    <w:p w:rsidR="005F20F0" w:rsidRDefault="005F20F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        В связи с введенными изменениями территориальная комиссия изменила режим работы: 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>с 9.00 до 20.00 часов ежедневно в будние дни, с 10.00 до 1</w:t>
      </w:r>
      <w:r w:rsidR="00157DF0"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>6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.00 часов – в выходные и праздничные дни.  </w:t>
      </w:r>
      <w:r w:rsidRPr="000F624D">
        <w:rPr>
          <w:rFonts w:ascii="Times New Roman" w:hAnsi="Times New Roman" w:cs="Times New Roman"/>
          <w:sz w:val="24"/>
          <w:szCs w:val="24"/>
        </w:rPr>
        <w:t>Участковые избирательные комиссии приступают к работе</w:t>
      </w:r>
      <w:r w:rsidRPr="000F624D">
        <w:rPr>
          <w:rFonts w:ascii="Times New Roman" w:hAnsi="Times New Roman" w:cs="Times New Roman"/>
          <w:b/>
          <w:sz w:val="24"/>
          <w:szCs w:val="24"/>
        </w:rPr>
        <w:t xml:space="preserve"> с 23 февраля 2018 года. Время работы: </w:t>
      </w:r>
      <w:r w:rsidRPr="000F624D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en-US"/>
        </w:rPr>
        <w:t xml:space="preserve">с 14.00 до 20.00 часов ежедневно в будние дни, с 10.00 до 14.00 часов – в выходные и праздничные дни. </w:t>
      </w:r>
      <w:r w:rsidRPr="000F624D">
        <w:rPr>
          <w:rFonts w:ascii="Times New Roman" w:eastAsia="Calibri" w:hAnsi="Times New Roman" w:cs="Times New Roman"/>
          <w:bCs/>
          <w:spacing w:val="2"/>
          <w:sz w:val="24"/>
          <w:szCs w:val="24"/>
          <w:lang w:eastAsia="en-US"/>
        </w:rPr>
        <w:t xml:space="preserve">Справки и консультации можно получить </w:t>
      </w:r>
      <w:r w:rsidRPr="000F624D">
        <w:rPr>
          <w:rFonts w:ascii="Times New Roman" w:hAnsi="Times New Roman" w:cs="Times New Roman"/>
          <w:sz w:val="24"/>
          <w:szCs w:val="24"/>
        </w:rPr>
        <w:t xml:space="preserve">в Нукутской ТИК по телефонам: 8 (395 49) 21-210; 8 950 060 64 65, а также позвонив в </w:t>
      </w:r>
      <w:r w:rsidRPr="000F6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Информационно-справочный центр ЦИК России </w:t>
      </w:r>
      <w:r w:rsidRPr="000F624D">
        <w:rPr>
          <w:rFonts w:ascii="Times New Roman" w:hAnsi="Times New Roman" w:cs="Times New Roman"/>
          <w:sz w:val="24"/>
          <w:szCs w:val="24"/>
        </w:rPr>
        <w:t xml:space="preserve">по номеру: </w:t>
      </w:r>
      <w:r w:rsidRPr="000F624D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8-800-707-2018 (звонок бесплатный). </w:t>
      </w:r>
    </w:p>
    <w:p w:rsid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747B40" w:rsidRPr="00747B40" w:rsidRDefault="00747B40" w:rsidP="000F624D">
      <w:pPr>
        <w:spacing w:after="0" w:line="0" w:lineRule="atLeast"/>
        <w:jc w:val="both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Председатель Нукутской ТИК</w:t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spellStart"/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А.С.Ланцова</w:t>
      </w:r>
      <w:proofErr w:type="spellEnd"/>
    </w:p>
    <w:p w:rsidR="00542001" w:rsidRPr="00747B40" w:rsidRDefault="005F20F0" w:rsidP="000F624D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7B4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sectPr w:rsidR="00542001" w:rsidRPr="00747B40" w:rsidSect="00BF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E2F80"/>
    <w:multiLevelType w:val="hybridMultilevel"/>
    <w:tmpl w:val="BD7CB57C"/>
    <w:lvl w:ilvl="0" w:tplc="90743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E2A"/>
    <w:rsid w:val="00080CC6"/>
    <w:rsid w:val="00086152"/>
    <w:rsid w:val="000F624D"/>
    <w:rsid w:val="00124118"/>
    <w:rsid w:val="00157DF0"/>
    <w:rsid w:val="001F1690"/>
    <w:rsid w:val="002E3237"/>
    <w:rsid w:val="003B2E2A"/>
    <w:rsid w:val="003C55A8"/>
    <w:rsid w:val="004223FA"/>
    <w:rsid w:val="00445811"/>
    <w:rsid w:val="00455BAA"/>
    <w:rsid w:val="00515F2C"/>
    <w:rsid w:val="00542001"/>
    <w:rsid w:val="005D28A2"/>
    <w:rsid w:val="005F20F0"/>
    <w:rsid w:val="0069360A"/>
    <w:rsid w:val="00694058"/>
    <w:rsid w:val="00747B40"/>
    <w:rsid w:val="0081357E"/>
    <w:rsid w:val="00870632"/>
    <w:rsid w:val="00A02CAE"/>
    <w:rsid w:val="00A66F3C"/>
    <w:rsid w:val="00AD06EF"/>
    <w:rsid w:val="00B256BE"/>
    <w:rsid w:val="00B61D86"/>
    <w:rsid w:val="00BF1B68"/>
    <w:rsid w:val="00C91793"/>
    <w:rsid w:val="00E66A65"/>
    <w:rsid w:val="00F33C68"/>
    <w:rsid w:val="00F8399C"/>
    <w:rsid w:val="00FB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</w:style>
  <w:style w:type="paragraph" w:styleId="1">
    <w:name w:val="heading 1"/>
    <w:basedOn w:val="a"/>
    <w:link w:val="10"/>
    <w:uiPriority w:val="9"/>
    <w:qFormat/>
    <w:rsid w:val="001F1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6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F1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1690"/>
    <w:rPr>
      <w:color w:val="0000FF"/>
      <w:u w:val="single"/>
    </w:rPr>
  </w:style>
  <w:style w:type="character" w:styleId="a5">
    <w:name w:val="Strong"/>
    <w:basedOn w:val="a0"/>
    <w:uiPriority w:val="22"/>
    <w:qFormat/>
    <w:rsid w:val="001F1690"/>
    <w:rPr>
      <w:b/>
      <w:bCs/>
    </w:rPr>
  </w:style>
  <w:style w:type="paragraph" w:styleId="a6">
    <w:name w:val="List Paragraph"/>
    <w:basedOn w:val="a"/>
    <w:uiPriority w:val="34"/>
    <w:qFormat/>
    <w:rsid w:val="000F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38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F6C3-8613-4C41-A8E1-90AA933A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Ланцова</dc:creator>
  <cp:keywords/>
  <dc:description/>
  <cp:lastModifiedBy>UserXP</cp:lastModifiedBy>
  <cp:revision>20</cp:revision>
  <cp:lastPrinted>2018-02-26T04:18:00Z</cp:lastPrinted>
  <dcterms:created xsi:type="dcterms:W3CDTF">2018-01-26T08:55:00Z</dcterms:created>
  <dcterms:modified xsi:type="dcterms:W3CDTF">2018-02-26T04:18:00Z</dcterms:modified>
</cp:coreProperties>
</file>